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56" w:rsidRDefault="00725356" w:rsidP="005F244D">
      <w:pPr>
        <w:tabs>
          <w:tab w:val="left" w:pos="2970"/>
        </w:tabs>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Sample Provider Letter</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 xml:space="preserve">Dear </w:t>
      </w:r>
      <w:r w:rsidRPr="007D0BF3">
        <w:rPr>
          <w:rFonts w:cstheme="minorHAnsi"/>
          <w:color w:val="323E4F" w:themeColor="text2" w:themeShade="BF"/>
          <w:sz w:val="22"/>
          <w:szCs w:val="22"/>
          <w:highlight w:val="yellow"/>
        </w:rPr>
        <w:t>&lt;PROVIDER &gt;,</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 xml:space="preserve">We (I) are (am) writing to share information about diabetes self-management education and support (DSMES). Attached is a recent position statement about DSMES in type 2 diabetes. It was written jointly by the American Association of Diabetes Educators, American Diabetes Association and the Academy of Nutrition and Dietetics. These are all national organizations that support diabetes awareness, management and self-management education.  </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To summarize, this Joint Position Statement provides several evidence-based findings:</w:t>
      </w:r>
    </w:p>
    <w:p w:rsidR="005F244D" w:rsidRPr="005F244D" w:rsidRDefault="005F244D" w:rsidP="005F244D">
      <w:pPr>
        <w:pStyle w:val="ListParagraph"/>
        <w:numPr>
          <w:ilvl w:val="0"/>
          <w:numId w:val="1"/>
        </w:numPr>
        <w:rPr>
          <w:rFonts w:cstheme="minorHAnsi"/>
          <w:color w:val="323E4F" w:themeColor="text2" w:themeShade="BF"/>
          <w:sz w:val="22"/>
          <w:szCs w:val="22"/>
        </w:rPr>
      </w:pPr>
      <w:r w:rsidRPr="005F244D">
        <w:rPr>
          <w:rFonts w:cstheme="minorHAnsi"/>
          <w:color w:val="323E4F" w:themeColor="text2" w:themeShade="BF"/>
          <w:sz w:val="22"/>
          <w:szCs w:val="22"/>
        </w:rPr>
        <w:t xml:space="preserve">Ongoing patient self-management education and support are critical to preventing acute complications and reducing the risk of long-term complications. </w:t>
      </w:r>
    </w:p>
    <w:p w:rsidR="005F244D" w:rsidRPr="005F244D" w:rsidRDefault="005F244D" w:rsidP="005F244D">
      <w:pPr>
        <w:pStyle w:val="ListParagraph"/>
        <w:numPr>
          <w:ilvl w:val="0"/>
          <w:numId w:val="1"/>
        </w:numPr>
        <w:rPr>
          <w:rFonts w:cstheme="minorHAnsi"/>
          <w:color w:val="323E4F" w:themeColor="text2" w:themeShade="BF"/>
          <w:sz w:val="22"/>
          <w:szCs w:val="22"/>
        </w:rPr>
      </w:pPr>
      <w:r w:rsidRPr="005F244D">
        <w:rPr>
          <w:rFonts w:cstheme="minorHAnsi"/>
          <w:color w:val="323E4F" w:themeColor="text2" w:themeShade="BF"/>
          <w:sz w:val="22"/>
          <w:szCs w:val="22"/>
        </w:rPr>
        <w:t>Critical times when DSMES should be provided for type 2 diabetes, what is included at each of the time points for quality diabetes care and how best to provide DSMES in a patient-</w:t>
      </w:r>
      <w:proofErr w:type="spellStart"/>
      <w:r w:rsidRPr="005F244D">
        <w:rPr>
          <w:rFonts w:cstheme="minorHAnsi"/>
          <w:color w:val="323E4F" w:themeColor="text2" w:themeShade="BF"/>
          <w:sz w:val="22"/>
          <w:szCs w:val="22"/>
        </w:rPr>
        <w:t>centered</w:t>
      </w:r>
      <w:proofErr w:type="spellEnd"/>
      <w:r w:rsidRPr="005F244D">
        <w:rPr>
          <w:rFonts w:cstheme="minorHAnsi"/>
          <w:color w:val="323E4F" w:themeColor="text2" w:themeShade="BF"/>
          <w:sz w:val="22"/>
          <w:szCs w:val="22"/>
        </w:rPr>
        <w:t xml:space="preserve"> manner.  </w:t>
      </w:r>
    </w:p>
    <w:p w:rsidR="005F244D" w:rsidRPr="005F244D" w:rsidRDefault="005F244D" w:rsidP="005F244D">
      <w:pPr>
        <w:pStyle w:val="ListParagraph"/>
        <w:numPr>
          <w:ilvl w:val="0"/>
          <w:numId w:val="1"/>
        </w:numPr>
        <w:rPr>
          <w:rFonts w:cstheme="minorHAnsi"/>
          <w:color w:val="323E4F" w:themeColor="text2" w:themeShade="BF"/>
          <w:sz w:val="22"/>
          <w:szCs w:val="22"/>
        </w:rPr>
      </w:pPr>
      <w:r w:rsidRPr="005F244D">
        <w:rPr>
          <w:rFonts w:cstheme="minorHAnsi"/>
          <w:color w:val="323E4F" w:themeColor="text2" w:themeShade="BF"/>
          <w:sz w:val="22"/>
          <w:szCs w:val="22"/>
        </w:rPr>
        <w:t xml:space="preserve">Engaging adults with type 2 diabetes in DSMES results in statistically significant and clinically meaningful improvement in </w:t>
      </w:r>
      <w:proofErr w:type="gramStart"/>
      <w:r w:rsidRPr="005F244D">
        <w:rPr>
          <w:rFonts w:cstheme="minorHAnsi"/>
          <w:color w:val="323E4F" w:themeColor="text2" w:themeShade="BF"/>
          <w:sz w:val="22"/>
          <w:szCs w:val="22"/>
        </w:rPr>
        <w:t>A1c</w:t>
      </w:r>
      <w:proofErr w:type="gramEnd"/>
      <w:r w:rsidRPr="005F244D">
        <w:rPr>
          <w:rFonts w:cstheme="minorHAnsi"/>
          <w:color w:val="323E4F" w:themeColor="text2" w:themeShade="BF"/>
          <w:sz w:val="22"/>
          <w:szCs w:val="22"/>
        </w:rPr>
        <w:t xml:space="preserve">. </w:t>
      </w:r>
    </w:p>
    <w:p w:rsidR="005F244D" w:rsidRPr="005F244D" w:rsidRDefault="005F244D" w:rsidP="005F244D">
      <w:pPr>
        <w:pStyle w:val="ListParagraph"/>
        <w:numPr>
          <w:ilvl w:val="0"/>
          <w:numId w:val="1"/>
        </w:numPr>
        <w:rPr>
          <w:rFonts w:cstheme="minorHAnsi"/>
          <w:color w:val="323E4F" w:themeColor="text2" w:themeShade="BF"/>
          <w:sz w:val="22"/>
          <w:szCs w:val="22"/>
        </w:rPr>
      </w:pPr>
      <w:r w:rsidRPr="005F244D">
        <w:rPr>
          <w:rFonts w:cstheme="minorHAnsi"/>
          <w:color w:val="323E4F" w:themeColor="text2" w:themeShade="BF"/>
          <w:sz w:val="22"/>
          <w:szCs w:val="22"/>
        </w:rPr>
        <w:t>Healthcare communities responsible for delivering quality care need to mobilize efforts to address the barriers and explore resources for DSMES in order to meet the needs of adults living with and managing type 2 diabetes</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We strongly encourage you to read the position document and accompanying algorithm and incorporate these recommendations when developing plans for people with diabetes. DSMES administered by trained professionals, combining group and individual counselling, has been shown statistically to improve outcomes.</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w:t>
      </w:r>
      <w:r w:rsidRPr="007D0BF3">
        <w:rPr>
          <w:rFonts w:cstheme="minorHAnsi"/>
          <w:color w:val="323E4F" w:themeColor="text2" w:themeShade="BF"/>
          <w:sz w:val="22"/>
          <w:szCs w:val="22"/>
          <w:highlight w:val="yellow"/>
        </w:rPr>
        <w:t>Insert your institution/ practice</w:t>
      </w:r>
      <w:r w:rsidRPr="005F244D">
        <w:rPr>
          <w:rFonts w:cstheme="minorHAnsi"/>
          <w:color w:val="323E4F" w:themeColor="text2" w:themeShade="BF"/>
          <w:sz w:val="22"/>
          <w:szCs w:val="22"/>
        </w:rPr>
        <w:t xml:space="preserve">) employs certified diabetes educators (CDEs) who are </w:t>
      </w:r>
      <w:r w:rsidRPr="007D0BF3">
        <w:rPr>
          <w:rFonts w:cstheme="minorHAnsi"/>
          <w:color w:val="323E4F" w:themeColor="text2" w:themeShade="BF"/>
          <w:sz w:val="22"/>
          <w:szCs w:val="22"/>
          <w:highlight w:val="yellow"/>
        </w:rPr>
        <w:t>(insert backgrounds of available staff</w:t>
      </w:r>
      <w:r w:rsidRPr="005F244D">
        <w:rPr>
          <w:rFonts w:cstheme="minorHAnsi"/>
          <w:color w:val="323E4F" w:themeColor="text2" w:themeShade="BF"/>
          <w:sz w:val="22"/>
          <w:szCs w:val="22"/>
        </w:rPr>
        <w:t xml:space="preserve">).  They can provide individual and group education </w:t>
      </w:r>
      <w:proofErr w:type="spellStart"/>
      <w:r w:rsidRPr="005F244D">
        <w:rPr>
          <w:rFonts w:cstheme="minorHAnsi"/>
          <w:color w:val="323E4F" w:themeColor="text2" w:themeShade="BF"/>
          <w:sz w:val="22"/>
          <w:szCs w:val="22"/>
        </w:rPr>
        <w:t>centered</w:t>
      </w:r>
      <w:proofErr w:type="spellEnd"/>
      <w:r w:rsidRPr="005F244D">
        <w:rPr>
          <w:rFonts w:cstheme="minorHAnsi"/>
          <w:color w:val="323E4F" w:themeColor="text2" w:themeShade="BF"/>
          <w:sz w:val="22"/>
          <w:szCs w:val="22"/>
        </w:rPr>
        <w:t xml:space="preserve"> on healthy eating, active living, glucose monitoring, medication, problem solving, healthy coping, reducing risks and information about the latest diabetes technologies.  </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To make a referral to the program, please call (</w:t>
      </w:r>
      <w:r w:rsidRPr="007D0BF3">
        <w:rPr>
          <w:rFonts w:cstheme="minorHAnsi"/>
          <w:color w:val="323E4F" w:themeColor="text2" w:themeShade="BF"/>
          <w:sz w:val="22"/>
          <w:szCs w:val="22"/>
          <w:highlight w:val="yellow"/>
        </w:rPr>
        <w:t>insert phone number</w:t>
      </w:r>
      <w:r w:rsidRPr="005F244D">
        <w:rPr>
          <w:rFonts w:cstheme="minorHAnsi"/>
          <w:color w:val="323E4F" w:themeColor="text2" w:themeShade="BF"/>
          <w:sz w:val="22"/>
          <w:szCs w:val="22"/>
        </w:rPr>
        <w:t xml:space="preserve">) or visit </w:t>
      </w:r>
      <w:hyperlink r:id="rId5" w:history="1">
        <w:r w:rsidRPr="007D0BF3">
          <w:rPr>
            <w:rFonts w:cstheme="minorHAnsi"/>
            <w:color w:val="323E4F" w:themeColor="text2" w:themeShade="BF"/>
            <w:sz w:val="22"/>
            <w:szCs w:val="22"/>
            <w:highlight w:val="yellow"/>
          </w:rPr>
          <w:t>(insert</w:t>
        </w:r>
      </w:hyperlink>
      <w:r w:rsidRPr="007D0BF3">
        <w:rPr>
          <w:rFonts w:cstheme="minorHAnsi"/>
          <w:color w:val="323E4F" w:themeColor="text2" w:themeShade="BF"/>
          <w:sz w:val="22"/>
          <w:szCs w:val="22"/>
          <w:highlight w:val="yellow"/>
        </w:rPr>
        <w:t xml:space="preserve"> email or website</w:t>
      </w:r>
      <w:r w:rsidRPr="005F244D">
        <w:rPr>
          <w:rFonts w:cstheme="minorHAnsi"/>
          <w:color w:val="323E4F" w:themeColor="text2" w:themeShade="BF"/>
          <w:sz w:val="22"/>
          <w:szCs w:val="22"/>
        </w:rPr>
        <w:t xml:space="preserve">) for additional information.  </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Thanks for your dedication to the health of our community!</w:t>
      </w:r>
    </w:p>
    <w:p w:rsid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 xml:space="preserve">Sincerely, </w:t>
      </w:r>
    </w:p>
    <w:p w:rsidR="005F244D" w:rsidRPr="005F244D" w:rsidRDefault="005F244D" w:rsidP="005F244D">
      <w:pPr>
        <w:pStyle w:val="ListParagraph"/>
        <w:rPr>
          <w:rFonts w:cstheme="minorHAnsi"/>
          <w:color w:val="323E4F" w:themeColor="text2" w:themeShade="BF"/>
          <w:sz w:val="22"/>
          <w:szCs w:val="22"/>
        </w:rPr>
      </w:pPr>
    </w:p>
    <w:p w:rsidR="005F244D" w:rsidRPr="005F244D" w:rsidRDefault="005F244D" w:rsidP="005F244D">
      <w:pPr>
        <w:pStyle w:val="ListParagraph"/>
        <w:rPr>
          <w:rFonts w:cstheme="minorHAnsi"/>
          <w:color w:val="323E4F" w:themeColor="text2" w:themeShade="BF"/>
          <w:sz w:val="22"/>
          <w:szCs w:val="22"/>
        </w:rPr>
      </w:pPr>
      <w:r w:rsidRPr="005F244D">
        <w:rPr>
          <w:rFonts w:cstheme="minorHAnsi"/>
          <w:color w:val="323E4F" w:themeColor="text2" w:themeShade="BF"/>
          <w:sz w:val="22"/>
          <w:szCs w:val="22"/>
        </w:rPr>
        <w:t>(</w:t>
      </w:r>
      <w:r w:rsidRPr="007D0BF3">
        <w:rPr>
          <w:rFonts w:cstheme="minorHAnsi"/>
          <w:color w:val="323E4F" w:themeColor="text2" w:themeShade="BF"/>
          <w:sz w:val="22"/>
          <w:szCs w:val="22"/>
          <w:highlight w:val="yellow"/>
        </w:rPr>
        <w:t>Insert key program leadership</w:t>
      </w:r>
      <w:bookmarkStart w:id="0" w:name="_GoBack"/>
      <w:bookmarkEnd w:id="0"/>
      <w:r w:rsidRPr="005F244D">
        <w:rPr>
          <w:rFonts w:cstheme="minorHAnsi"/>
          <w:color w:val="323E4F" w:themeColor="text2" w:themeShade="BF"/>
          <w:sz w:val="22"/>
          <w:szCs w:val="22"/>
        </w:rPr>
        <w:t xml:space="preserve">) </w:t>
      </w:r>
    </w:p>
    <w:p w:rsidR="005F244D" w:rsidRPr="005F244D" w:rsidRDefault="005F244D" w:rsidP="005F244D">
      <w:pPr>
        <w:tabs>
          <w:tab w:val="left" w:pos="2970"/>
        </w:tabs>
        <w:rPr>
          <w:rFonts w:cstheme="minorHAnsi"/>
        </w:rPr>
      </w:pPr>
    </w:p>
    <w:sectPr w:rsidR="005F244D" w:rsidRPr="005F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307"/>
    <w:multiLevelType w:val="hybridMultilevel"/>
    <w:tmpl w:val="22D25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D"/>
    <w:rsid w:val="005F244D"/>
    <w:rsid w:val="00725356"/>
    <w:rsid w:val="007D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F0C89-FA3D-4937-A414-E4150F1F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4D"/>
    <w:pPr>
      <w:spacing w:after="240" w:line="240" w:lineRule="atLeast"/>
      <w:ind w:left="720"/>
      <w:contextualSpacing/>
    </w:pPr>
    <w:rPr>
      <w:color w:val="000000" w:themeColor="text1"/>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vahealth.com/locations/profile/Diabetes-Education-and-Management-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Pihos</dc:creator>
  <cp:keywords/>
  <dc:description/>
  <cp:lastModifiedBy>Diana Pihos</cp:lastModifiedBy>
  <cp:revision>2</cp:revision>
  <dcterms:created xsi:type="dcterms:W3CDTF">2017-05-04T21:02:00Z</dcterms:created>
  <dcterms:modified xsi:type="dcterms:W3CDTF">2017-05-04T21:13:00Z</dcterms:modified>
</cp:coreProperties>
</file>